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34CD" w:rsidRPr="003C34CD" w:rsidRDefault="003C34CD" w:rsidP="003C34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fr-FR"/>
        </w:rPr>
      </w:pPr>
      <w:r w:rsidRPr="003C34C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fr-FR"/>
        </w:rPr>
        <w:t>DCE – MAPA Détecteurs de photons supraconducteurs</w:t>
      </w:r>
    </w:p>
    <w:p w:rsidR="003C34CD" w:rsidRPr="003C34CD" w:rsidRDefault="003C34CD" w:rsidP="003C34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C34CD">
        <w:rPr>
          <w:rFonts w:ascii="Times New Roman" w:eastAsia="Times New Roman" w:hAnsi="Times New Roman" w:cs="Times New Roman"/>
          <w:iCs/>
          <w:sz w:val="24"/>
          <w:szCs w:val="24"/>
          <w:lang w:eastAsia="fr-FR"/>
        </w:rPr>
        <w:t>F</w:t>
      </w:r>
      <w:r w:rsidRPr="003C34CD">
        <w:rPr>
          <w:rFonts w:ascii="Times New Roman" w:eastAsia="Times New Roman" w:hAnsi="Times New Roman" w:cs="Times New Roman"/>
          <w:sz w:val="24"/>
          <w:szCs w:val="24"/>
          <w:lang w:eastAsia="fr-FR"/>
        </w:rPr>
        <w:t>ourniture de détecteurs de photons supraconducteurs résolvant le nombre de photons.  Ces détecteurs sont recherchés afin de réaliser des expériences d'optique quantique avec une haute ef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f</w:t>
      </w:r>
      <w:r w:rsidRPr="003C34CD">
        <w:rPr>
          <w:rFonts w:ascii="Times New Roman" w:eastAsia="Times New Roman" w:hAnsi="Times New Roman" w:cs="Times New Roman"/>
          <w:sz w:val="24"/>
          <w:szCs w:val="24"/>
          <w:lang w:eastAsia="fr-FR"/>
        </w:rPr>
        <w:t>icacité et bas bruit</w:t>
      </w:r>
    </w:p>
    <w:p w:rsidR="003C34CD" w:rsidRPr="003C34CD" w:rsidRDefault="003C34CD" w:rsidP="003C34C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C34CD">
        <w:rPr>
          <w:rFonts w:ascii="Times New Roman" w:eastAsia="Times New Roman" w:hAnsi="Times New Roman" w:cs="Times New Roman"/>
          <w:sz w:val="24"/>
          <w:szCs w:val="24"/>
          <w:lang w:eastAsia="fr-FR"/>
        </w:rPr>
        <w:t>2 détecteurs supraconducteurs résolvant le nombre de photons optimisés à 1064 nm.</w:t>
      </w:r>
    </w:p>
    <w:p w:rsidR="003C34CD" w:rsidRPr="003C34CD" w:rsidRDefault="003C34CD" w:rsidP="003C34CD">
      <w:pPr>
        <w:numPr>
          <w:ilvl w:val="0"/>
          <w:numId w:val="2"/>
        </w:numPr>
        <w:spacing w:before="100" w:beforeAutospacing="1" w:after="24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C34CD">
        <w:rPr>
          <w:rFonts w:ascii="Times New Roman" w:eastAsia="Times New Roman" w:hAnsi="Times New Roman" w:cs="Times New Roman"/>
          <w:sz w:val="24"/>
          <w:szCs w:val="24"/>
          <w:lang w:eastAsia="fr-FR"/>
        </w:rPr>
        <w:t>2 détecteurs supraconducteurs résolvant le nombre de photon optimisés à 1550 nm</w:t>
      </w:r>
    </w:p>
    <w:p w:rsidR="003C34CD" w:rsidRPr="003C34CD" w:rsidRDefault="003C34CD" w:rsidP="003C34CD">
      <w:pPr>
        <w:numPr>
          <w:ilvl w:val="0"/>
          <w:numId w:val="2"/>
        </w:numPr>
        <w:spacing w:before="100" w:beforeAutospacing="1" w:after="24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C34CD">
        <w:rPr>
          <w:rFonts w:ascii="Times New Roman" w:eastAsia="Times New Roman" w:hAnsi="Times New Roman" w:cs="Times New Roman"/>
          <w:sz w:val="24"/>
          <w:szCs w:val="24"/>
          <w:lang w:eastAsia="fr-FR"/>
        </w:rPr>
        <w:t> Electronique de contrôle et de comptage pour résoudre le nombre de photons</w:t>
      </w:r>
    </w:p>
    <w:p w:rsidR="003C34CD" w:rsidRPr="003C34CD" w:rsidRDefault="003C34CD" w:rsidP="003C34CD">
      <w:pPr>
        <w:numPr>
          <w:ilvl w:val="0"/>
          <w:numId w:val="2"/>
        </w:numPr>
        <w:spacing w:before="100" w:beforeAutospacing="1" w:after="24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C34CD">
        <w:rPr>
          <w:rFonts w:ascii="Times New Roman" w:eastAsia="Times New Roman" w:hAnsi="Times New Roman" w:cs="Times New Roman"/>
          <w:sz w:val="24"/>
          <w:szCs w:val="24"/>
          <w:lang w:eastAsia="fr-FR"/>
        </w:rPr>
        <w:t>Dispositions communes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 :</w:t>
      </w:r>
    </w:p>
    <w:p w:rsidR="003C34CD" w:rsidRPr="003C34CD" w:rsidRDefault="003C34CD" w:rsidP="003C34C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spellStart"/>
      <w:r w:rsidRPr="003C34CD">
        <w:rPr>
          <w:rFonts w:ascii="Times New Roman" w:eastAsia="Times New Roman" w:hAnsi="Times New Roman" w:cs="Times New Roman"/>
          <w:sz w:val="24"/>
          <w:szCs w:val="24"/>
          <w:lang w:eastAsia="fr-FR"/>
        </w:rPr>
        <w:t>Latch</w:t>
      </w:r>
      <w:proofErr w:type="spellEnd"/>
      <w:r w:rsidRPr="003C34C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free </w:t>
      </w:r>
      <w:proofErr w:type="spellStart"/>
      <w:proofErr w:type="gramStart"/>
      <w:r w:rsidRPr="003C34CD">
        <w:rPr>
          <w:rFonts w:ascii="Times New Roman" w:eastAsia="Times New Roman" w:hAnsi="Times New Roman" w:cs="Times New Roman"/>
          <w:sz w:val="24"/>
          <w:szCs w:val="24"/>
          <w:lang w:eastAsia="fr-FR"/>
        </w:rPr>
        <w:t>operation</w:t>
      </w:r>
      <w:proofErr w:type="spellEnd"/>
      <w:r w:rsidRPr="003C34CD">
        <w:rPr>
          <w:rFonts w:ascii="Times New Roman" w:eastAsia="Times New Roman" w:hAnsi="Times New Roman" w:cs="Times New Roman"/>
          <w:sz w:val="24"/>
          <w:szCs w:val="24"/>
          <w:lang w:eastAsia="fr-FR"/>
        </w:rPr>
        <w:t>:</w:t>
      </w:r>
      <w:proofErr w:type="gramEnd"/>
      <w:r w:rsidRPr="003C34C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absence de désactivation dans toutes les conditions d ‘op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é</w:t>
      </w:r>
      <w:r w:rsidRPr="003C34CD">
        <w:rPr>
          <w:rFonts w:ascii="Times New Roman" w:eastAsia="Times New Roman" w:hAnsi="Times New Roman" w:cs="Times New Roman"/>
          <w:sz w:val="24"/>
          <w:szCs w:val="24"/>
          <w:lang w:eastAsia="fr-FR"/>
        </w:rPr>
        <w:t>ration.</w:t>
      </w:r>
    </w:p>
    <w:p w:rsidR="003C34CD" w:rsidRPr="003C34CD" w:rsidRDefault="003C34CD" w:rsidP="003C34C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C34CD">
        <w:rPr>
          <w:rFonts w:ascii="Times New Roman" w:eastAsia="Times New Roman" w:hAnsi="Times New Roman" w:cs="Times New Roman"/>
          <w:sz w:val="24"/>
          <w:szCs w:val="24"/>
          <w:lang w:eastAsia="fr-FR"/>
        </w:rPr>
        <w:t>Efficacité de d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é</w:t>
      </w:r>
      <w:r w:rsidRPr="003C34CD">
        <w:rPr>
          <w:rFonts w:ascii="Times New Roman" w:eastAsia="Times New Roman" w:hAnsi="Times New Roman" w:cs="Times New Roman"/>
          <w:sz w:val="24"/>
          <w:szCs w:val="24"/>
          <w:lang w:eastAsia="fr-FR"/>
        </w:rPr>
        <w:t>tection supérieure à 85%</w:t>
      </w:r>
    </w:p>
    <w:p w:rsidR="003C34CD" w:rsidRPr="003C34CD" w:rsidRDefault="003C34CD" w:rsidP="003C34C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C34CD">
        <w:rPr>
          <w:rFonts w:ascii="Times New Roman" w:eastAsia="Times New Roman" w:hAnsi="Times New Roman" w:cs="Times New Roman"/>
          <w:sz w:val="24"/>
          <w:szCs w:val="24"/>
          <w:lang w:eastAsia="fr-FR"/>
        </w:rPr>
        <w:t>Bruit d’obscurité inférieure à 10 cps à 1064 nm et 5 cps à 1550 nm. </w:t>
      </w:r>
    </w:p>
    <w:p w:rsidR="00272E5C" w:rsidRDefault="00272E5C">
      <w:bookmarkStart w:id="0" w:name="_GoBack"/>
      <w:bookmarkEnd w:id="0"/>
    </w:p>
    <w:sectPr w:rsidR="00272E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E632E1"/>
    <w:multiLevelType w:val="multilevel"/>
    <w:tmpl w:val="3F3C3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E93456"/>
    <w:multiLevelType w:val="multilevel"/>
    <w:tmpl w:val="EEC24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69B3038"/>
    <w:multiLevelType w:val="multilevel"/>
    <w:tmpl w:val="FC7478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4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F34"/>
    <w:rsid w:val="00272E5C"/>
    <w:rsid w:val="003C34CD"/>
    <w:rsid w:val="00D54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9F372"/>
  <w15:chartTrackingRefBased/>
  <w15:docId w15:val="{6C35A0C5-AEFD-4B70-860B-E2B50F58F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C34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266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610</Characters>
  <Application>Microsoft Office Word</Application>
  <DocSecurity>0</DocSecurity>
  <Lines>5</Lines>
  <Paragraphs>1</Paragraphs>
  <ScaleCrop>false</ScaleCrop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Thierry Tardieu</dc:creator>
  <cp:keywords/>
  <dc:description/>
  <cp:lastModifiedBy>Thierry Tardieu</cp:lastModifiedBy>
  <cp:revision>2</cp:revision>
  <dcterms:created xsi:type="dcterms:W3CDTF">2026-02-16T11:01:00Z</dcterms:created>
  <dcterms:modified xsi:type="dcterms:W3CDTF">2026-02-16T11:03:00Z</dcterms:modified>
</cp:coreProperties>
</file>